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883" w:rsidRPr="00D1419E" w:rsidRDefault="00C1171B" w:rsidP="00C1171B">
      <w:pPr>
        <w:pStyle w:val="Title"/>
        <w:spacing w:before="0"/>
        <w:rPr>
          <w:color w:val="000000" w:themeColor="text1"/>
        </w:rPr>
      </w:pPr>
      <w:r>
        <w:rPr>
          <w:color w:val="000000" w:themeColor="text1"/>
        </w:rPr>
        <w:t>Template</w:t>
      </w:r>
      <w:r w:rsidR="00D1419E" w:rsidRPr="00D1419E">
        <w:rPr>
          <w:color w:val="000000" w:themeColor="text1"/>
        </w:rPr>
        <w:t xml:space="preserve"> for </w:t>
      </w:r>
      <w:r>
        <w:rPr>
          <w:color w:val="000000" w:themeColor="text1"/>
        </w:rPr>
        <w:t>SEAS</w:t>
      </w:r>
      <w:r w:rsidR="00D1419E">
        <w:rPr>
          <w:color w:val="000000" w:themeColor="text1"/>
        </w:rPr>
        <w:t xml:space="preserve"> </w:t>
      </w:r>
      <w:r>
        <w:rPr>
          <w:color w:val="000000" w:themeColor="text1"/>
        </w:rPr>
        <w:t>Submissions</w:t>
      </w:r>
    </w:p>
    <w:p w:rsidR="00851883" w:rsidRPr="00D1419E" w:rsidRDefault="00D1419E">
      <w:pPr>
        <w:pStyle w:val="Author"/>
        <w:rPr>
          <w:b/>
          <w:bCs/>
          <w:color w:val="000000" w:themeColor="text1"/>
        </w:rPr>
      </w:pPr>
      <w:r w:rsidRPr="00D1419E">
        <w:rPr>
          <w:b/>
          <w:bCs/>
          <w:color w:val="000000" w:themeColor="text1"/>
        </w:rPr>
        <w:t>Author name</w:t>
      </w:r>
      <w:r w:rsidRPr="00D1419E">
        <w:rPr>
          <w:b/>
          <w:bCs/>
          <w:color w:val="000000" w:themeColor="text1"/>
          <w:vertAlign w:val="superscript"/>
        </w:rPr>
        <w:t>1</w:t>
      </w:r>
      <w:r w:rsidRPr="00D1419E">
        <w:rPr>
          <w:b/>
          <w:bCs/>
          <w:color w:val="000000" w:themeColor="text1"/>
        </w:rPr>
        <w:t>, Author name</w:t>
      </w:r>
      <w:r w:rsidRPr="00D1419E">
        <w:rPr>
          <w:b/>
          <w:bCs/>
          <w:color w:val="000000" w:themeColor="text1"/>
          <w:vertAlign w:val="superscript"/>
        </w:rPr>
        <w:t>2</w:t>
      </w:r>
      <w:r w:rsidRPr="00D1419E">
        <w:rPr>
          <w:b/>
          <w:bCs/>
          <w:color w:val="000000" w:themeColor="text1"/>
        </w:rPr>
        <w:t>, Author name</w:t>
      </w:r>
      <w:r w:rsidRPr="00D1419E">
        <w:rPr>
          <w:b/>
          <w:bCs/>
          <w:color w:val="000000" w:themeColor="text1"/>
          <w:vertAlign w:val="superscript"/>
        </w:rPr>
        <w:t>3</w:t>
      </w:r>
      <w:r w:rsidRPr="00D1419E">
        <w:rPr>
          <w:b/>
          <w:bCs/>
          <w:color w:val="000000" w:themeColor="text1"/>
        </w:rPr>
        <w:t>, and Author name</w:t>
      </w:r>
      <w:r w:rsidRPr="00D1419E">
        <w:rPr>
          <w:b/>
          <w:bCs/>
          <w:color w:val="000000" w:themeColor="text1"/>
          <w:vertAlign w:val="superscript"/>
        </w:rPr>
        <w:t>4</w:t>
      </w:r>
    </w:p>
    <w:p w:rsidR="00D1419E" w:rsidRDefault="00D1419E" w:rsidP="00D1419E">
      <w:pPr>
        <w:pStyle w:val="Abstract"/>
        <w:spacing w:before="0" w:after="0"/>
        <w:jc w:val="center"/>
      </w:pPr>
      <w:r w:rsidRPr="00D1419E">
        <w:rPr>
          <w:vertAlign w:val="superscript"/>
        </w:rPr>
        <w:t>1</w:t>
      </w:r>
      <w:r w:rsidRPr="00D1419E">
        <w:t>Affiliation1 details for first author to appear here, Illinois 60439, USA</w:t>
      </w:r>
    </w:p>
    <w:p w:rsidR="00D1419E" w:rsidRDefault="00D1419E" w:rsidP="00D1419E">
      <w:pPr>
        <w:pStyle w:val="Abstract"/>
        <w:spacing w:before="0" w:after="0"/>
        <w:jc w:val="center"/>
      </w:pPr>
      <w:r w:rsidRPr="00D1419E">
        <w:rPr>
          <w:vertAlign w:val="superscript"/>
        </w:rPr>
        <w:t>2</w:t>
      </w:r>
      <w:r w:rsidRPr="00D1419E">
        <w:t>Affiliation2 details for second author to appear here, Illinois 60637, USA</w:t>
      </w:r>
    </w:p>
    <w:p w:rsidR="00D1419E" w:rsidRDefault="00D1419E" w:rsidP="00D1419E">
      <w:pPr>
        <w:pStyle w:val="Abstract"/>
        <w:spacing w:before="0" w:after="0"/>
        <w:jc w:val="center"/>
      </w:pPr>
      <w:r w:rsidRPr="00D1419E">
        <w:rPr>
          <w:vertAlign w:val="superscript"/>
        </w:rPr>
        <w:t>2</w:t>
      </w:r>
      <w:r w:rsidRPr="00D1419E">
        <w:t>Affiliation2 details for second author to appear here, Cairo 11566, Egypt</w:t>
      </w:r>
    </w:p>
    <w:p w:rsidR="00D1419E" w:rsidRDefault="00D1419E" w:rsidP="00D1419E">
      <w:pPr>
        <w:pStyle w:val="Abstract"/>
        <w:spacing w:before="0" w:after="0"/>
        <w:jc w:val="center"/>
      </w:pPr>
      <w:r w:rsidRPr="00D1419E">
        <w:rPr>
          <w:vertAlign w:val="superscript"/>
        </w:rPr>
        <w:t>3</w:t>
      </w:r>
      <w:r w:rsidRPr="00D1419E">
        <w:t>Affiliation3 details for third author to appear here, P.O. Box 43, Egypt</w:t>
      </w:r>
    </w:p>
    <w:p w:rsidR="00D1419E" w:rsidRPr="00D1419E" w:rsidRDefault="00D1419E" w:rsidP="00D1419E">
      <w:pPr>
        <w:pStyle w:val="Abstract"/>
        <w:spacing w:before="0"/>
        <w:jc w:val="center"/>
      </w:pPr>
      <w:r w:rsidRPr="00D1419E">
        <w:rPr>
          <w:vertAlign w:val="superscript"/>
        </w:rPr>
        <w:t>4</w:t>
      </w:r>
      <w:r w:rsidRPr="00D1419E">
        <w:t>Affiliation4 details for fourth author to appear here, California 92521, USA</w:t>
      </w:r>
    </w:p>
    <w:p w:rsidR="00D1419E" w:rsidRPr="00D1419E" w:rsidRDefault="00D1419E" w:rsidP="00E27C44">
      <w:pPr>
        <w:pStyle w:val="Heading1"/>
        <w:spacing w:after="240"/>
        <w:jc w:val="center"/>
        <w:rPr>
          <w:b w:val="0"/>
          <w:bCs w:val="0"/>
          <w:color w:val="000000" w:themeColor="text1"/>
        </w:rPr>
      </w:pPr>
      <w:r w:rsidRPr="00F66B4B">
        <w:rPr>
          <w:color w:val="000000" w:themeColor="text1"/>
        </w:rPr>
        <w:t>Abstract</w:t>
      </w:r>
    </w:p>
    <w:p w:rsidR="00851883" w:rsidRPr="00D1419E" w:rsidRDefault="00E10C6F" w:rsidP="00E27C44">
      <w:pPr>
        <w:pStyle w:val="Abstract"/>
        <w:spacing w:before="0"/>
        <w:rPr>
          <w:color w:val="000000" w:themeColor="text1"/>
        </w:rPr>
      </w:pPr>
      <w:r w:rsidRPr="00E10C6F">
        <w:rPr>
          <w:color w:val="000000" w:themeColor="text1"/>
        </w:rPr>
        <w:t>Established in 2022, Studies in Egyptian Archaeology and Science (SEAS) is an international open-access journal that covers the implementation of physical and biological sciences to Egyptian archaeology, philology and art history. SEAS invites contributions with a focus on dating, environmental studies, remote sensing and geophysics including satellite mapping, artefact studies, conservation science and biological anthropology including a strong Egyptological research focus and cultural theory in equal measure. Contributions are expected to be evidence-based, and to follow the highest scientific and ethical standards relevant to an international scientific community.</w:t>
      </w:r>
    </w:p>
    <w:p w:rsidR="00F66B4B" w:rsidRDefault="00D1419E" w:rsidP="00C1171B">
      <w:pPr>
        <w:pStyle w:val="FirstParagraph"/>
        <w:spacing w:before="0" w:after="0"/>
        <w:rPr>
          <w:color w:val="000000" w:themeColor="text1"/>
          <w:sz w:val="20"/>
          <w:szCs w:val="20"/>
        </w:rPr>
      </w:pPr>
      <w:r w:rsidRPr="00F66B4B">
        <w:rPr>
          <w:i/>
          <w:iCs/>
          <w:color w:val="000000" w:themeColor="text1"/>
          <w:sz w:val="20"/>
          <w:szCs w:val="20"/>
        </w:rPr>
        <w:t>Keywords</w:t>
      </w:r>
      <w:r w:rsidRPr="00F66B4B">
        <w:rPr>
          <w:color w:val="000000" w:themeColor="text1"/>
          <w:sz w:val="20"/>
          <w:szCs w:val="20"/>
        </w:rPr>
        <w:t>:</w:t>
      </w:r>
      <w:r w:rsidRPr="00D1419E">
        <w:rPr>
          <w:color w:val="000000" w:themeColor="text1"/>
          <w:sz w:val="20"/>
          <w:szCs w:val="20"/>
        </w:rPr>
        <w:t xml:space="preserve"> </w:t>
      </w:r>
      <w:r w:rsidR="00C1171B">
        <w:rPr>
          <w:color w:val="000000" w:themeColor="text1"/>
          <w:sz w:val="20"/>
          <w:szCs w:val="20"/>
        </w:rPr>
        <w:t>Archaeology</w:t>
      </w:r>
      <w:r w:rsidRPr="00D1419E">
        <w:rPr>
          <w:color w:val="000000" w:themeColor="text1"/>
          <w:sz w:val="20"/>
          <w:szCs w:val="20"/>
        </w:rPr>
        <w:t xml:space="preserve">, </w:t>
      </w:r>
      <w:r w:rsidR="00C1171B">
        <w:rPr>
          <w:color w:val="000000" w:themeColor="text1"/>
          <w:sz w:val="20"/>
          <w:szCs w:val="20"/>
        </w:rPr>
        <w:t>Egyptology</w:t>
      </w:r>
    </w:p>
    <w:p w:rsidR="00650542" w:rsidRPr="00E04726" w:rsidRDefault="00D1419E" w:rsidP="00C1171B">
      <w:pPr>
        <w:pStyle w:val="FirstParagraph"/>
        <w:spacing w:before="0" w:after="0"/>
        <w:rPr>
          <w:color w:val="000000" w:themeColor="text1"/>
          <w:sz w:val="20"/>
          <w:szCs w:val="20"/>
        </w:rPr>
      </w:pPr>
      <w:r w:rsidRPr="00F66B4B">
        <w:rPr>
          <w:i/>
          <w:iCs/>
          <w:color w:val="000000" w:themeColor="text1"/>
          <w:sz w:val="20"/>
          <w:szCs w:val="20"/>
        </w:rPr>
        <w:t>DOI</w:t>
      </w:r>
      <w:r w:rsidRPr="00F66B4B">
        <w:rPr>
          <w:color w:val="000000" w:themeColor="text1"/>
          <w:sz w:val="20"/>
          <w:szCs w:val="20"/>
        </w:rPr>
        <w:t>: 10.2018/</w:t>
      </w:r>
      <w:r w:rsidR="00C1171B">
        <w:rPr>
          <w:color w:val="000000" w:themeColor="text1"/>
          <w:sz w:val="20"/>
          <w:szCs w:val="20"/>
        </w:rPr>
        <w:t>SEAS</w:t>
      </w:r>
      <w:r w:rsidRPr="00F66B4B">
        <w:rPr>
          <w:color w:val="000000" w:themeColor="text1"/>
          <w:sz w:val="20"/>
          <w:szCs w:val="20"/>
        </w:rPr>
        <w:t>000001</w:t>
      </w:r>
      <w:bookmarkStart w:id="0" w:name="introduction-to-latex"/>
      <w:bookmarkEnd w:id="0"/>
    </w:p>
    <w:p w:rsidR="00650542" w:rsidRPr="00650542" w:rsidRDefault="00E04726" w:rsidP="00650542">
      <w:pPr>
        <w:pStyle w:val="BodyText"/>
        <w:sectPr w:rsidR="00650542" w:rsidRPr="00650542" w:rsidSect="00B8712E">
          <w:headerReference w:type="default" r:id="rId8"/>
          <w:footerReference w:type="default" r:id="rId9"/>
          <w:headerReference w:type="first" r:id="rId10"/>
          <w:pgSz w:w="12240" w:h="15840"/>
          <w:pgMar w:top="1440" w:right="1440" w:bottom="1440" w:left="1440" w:header="720" w:footer="720" w:gutter="0"/>
          <w:cols w:space="720"/>
          <w:titlePg/>
          <w:docGrid w:linePitch="326"/>
        </w:sectPr>
      </w:pPr>
      <w:r>
        <w:rPr>
          <w:rFonts w:ascii="Cambria" w:eastAsia="Cambria" w:hAnsi="Cambria" w:cs="Cambria"/>
          <w:noProof/>
        </w:rPr>
        <w:pict>
          <v:rect id="_x0000_i1025" alt="" style="width:468pt;height:1.5pt;mso-width-percent:0;mso-height-percent:0;mso-width-percent:0;mso-height-percent:0" o:hralign="center" o:hrstd="t" o:hrnoshade="t" o:hr="t" fillcolor="black [3213]" stroked="f"/>
        </w:pict>
      </w:r>
    </w:p>
    <w:p w:rsidR="00851883" w:rsidRPr="00D1419E" w:rsidRDefault="00F66B4B" w:rsidP="00C1171B">
      <w:pPr>
        <w:pStyle w:val="Heading1"/>
        <w:rPr>
          <w:color w:val="000000" w:themeColor="text1"/>
        </w:rPr>
      </w:pPr>
      <w:r>
        <w:rPr>
          <w:color w:val="000000" w:themeColor="text1"/>
        </w:rPr>
        <w:t xml:space="preserve">1. </w:t>
      </w:r>
      <w:r w:rsidR="00D1419E" w:rsidRPr="00D1419E">
        <w:rPr>
          <w:color w:val="000000" w:themeColor="text1"/>
        </w:rPr>
        <w:t>Introduction</w:t>
      </w:r>
    </w:p>
    <w:p w:rsidR="00851883" w:rsidRPr="00F66B4B" w:rsidRDefault="00E10C6F" w:rsidP="00E10C6F">
      <w:pPr>
        <w:rPr>
          <w:bCs/>
          <w:color w:val="000000" w:themeColor="text1"/>
        </w:rPr>
      </w:pPr>
      <w:r w:rsidRPr="00C1171B">
        <w:rPr>
          <w:color w:val="000000" w:themeColor="text1"/>
        </w:rPr>
        <w:t xml:space="preserve">In broad strokes, the story of the development of ancient Egypt as one of the world’s first </w:t>
      </w:r>
      <w:proofErr w:type="spellStart"/>
      <w:r w:rsidRPr="00C1171B">
        <w:rPr>
          <w:color w:val="000000" w:themeColor="text1"/>
        </w:rPr>
        <w:t>civilisations</w:t>
      </w:r>
      <w:proofErr w:type="spellEnd"/>
      <w:r w:rsidRPr="00C1171B">
        <w:rPr>
          <w:color w:val="000000" w:themeColor="text1"/>
        </w:rPr>
        <w:t xml:space="preserve"> emerging has often been told. First, by the ancient Egyptian </w:t>
      </w:r>
      <w:proofErr w:type="gramStart"/>
      <w:r w:rsidRPr="00C1171B">
        <w:rPr>
          <w:color w:val="000000" w:themeColor="text1"/>
        </w:rPr>
        <w:t>themselves</w:t>
      </w:r>
      <w:proofErr w:type="gramEnd"/>
      <w:r w:rsidRPr="00C1171B">
        <w:rPr>
          <w:color w:val="000000" w:themeColor="text1"/>
        </w:rPr>
        <w:t xml:space="preserve">, later by Greek historians such as Herodotus who, like us, observed ancient Egyptian culture from a distance. Two hundred years after the first successful decipherment of ancient Egyptian hieroglyphs by Jean-François Champollion in 1822, and one hundred years after the discovery of the tomb of Tutankhamun by Howard Carter in 1922, the study on ancient Egypt has become more varied, detailed and informed by multidisciplinary approaches than ever. Theories, methods and archaeological practice have constantly been refined over the past 40 years. With the dramatic change experienced in the wake of </w:t>
      </w:r>
      <w:r w:rsidRPr="00C1171B">
        <w:rPr>
          <w:color w:val="000000" w:themeColor="text1"/>
        </w:rPr>
        <w:t xml:space="preserve">cognitive-processional archaeology which still stresses the role of </w:t>
      </w:r>
      <w:proofErr w:type="spellStart"/>
      <w:r w:rsidRPr="00C1171B">
        <w:rPr>
          <w:color w:val="000000" w:themeColor="text1"/>
        </w:rPr>
        <w:t>generalisation</w:t>
      </w:r>
      <w:proofErr w:type="spellEnd"/>
      <w:r w:rsidRPr="00C1171B">
        <w:rPr>
          <w:color w:val="000000" w:themeColor="text1"/>
        </w:rPr>
        <w:t xml:space="preserve"> within theoretical thinking but also </w:t>
      </w:r>
      <w:proofErr w:type="spellStart"/>
      <w:r w:rsidRPr="00C1171B">
        <w:rPr>
          <w:color w:val="000000" w:themeColor="text1"/>
        </w:rPr>
        <w:t>emphasises</w:t>
      </w:r>
      <w:proofErr w:type="spellEnd"/>
      <w:r w:rsidRPr="00C1171B">
        <w:rPr>
          <w:color w:val="000000" w:themeColor="text1"/>
        </w:rPr>
        <w:t xml:space="preserve"> the importance of formulating hypotheses tested against data, archaeology accepted that material culture is an active factor in constituting the world then and now. As individuals and societies construct their own social realities, facts are interpreted within theory for them to be able to explain a specific historical event, a series or class of events, or even a more general process. This is where this journal hopes to become a tool sharp enough to impact on current and future trends, methods and practice.</w:t>
      </w:r>
    </w:p>
    <w:p w:rsidR="00F66B4B" w:rsidRDefault="00F66B4B" w:rsidP="00E10C6F">
      <w:pPr>
        <w:pStyle w:val="Heading1"/>
        <w:rPr>
          <w:color w:val="000000" w:themeColor="text1"/>
        </w:rPr>
      </w:pPr>
      <w:bookmarkStart w:id="1" w:name="what-is-latex"/>
      <w:bookmarkEnd w:id="1"/>
      <w:r>
        <w:rPr>
          <w:color w:val="000000" w:themeColor="text1"/>
        </w:rPr>
        <w:t xml:space="preserve">2. </w:t>
      </w:r>
      <w:r w:rsidR="00E10C6F">
        <w:rPr>
          <w:color w:val="000000" w:themeColor="text1"/>
        </w:rPr>
        <w:t>SEAS Conferences</w:t>
      </w:r>
    </w:p>
    <w:p w:rsidR="00E10C6F" w:rsidRPr="00E10C6F" w:rsidRDefault="00E10C6F" w:rsidP="00E10C6F">
      <w:pPr>
        <w:rPr>
          <w:color w:val="000000" w:themeColor="text1"/>
        </w:rPr>
      </w:pPr>
      <w:r w:rsidRPr="00E10C6F">
        <w:rPr>
          <w:color w:val="000000" w:themeColor="text1"/>
        </w:rPr>
        <w:t>Studies in Egyptian Archaeology and Science (SEAS)</w:t>
      </w:r>
      <w:r>
        <w:rPr>
          <w:color w:val="000000" w:themeColor="text1"/>
        </w:rPr>
        <w:t xml:space="preserve"> has </w:t>
      </w:r>
      <w:proofErr w:type="spellStart"/>
      <w:r w:rsidRPr="00E10C6F">
        <w:rPr>
          <w:color w:val="000000" w:themeColor="text1"/>
        </w:rPr>
        <w:t>organise</w:t>
      </w:r>
      <w:r>
        <w:rPr>
          <w:color w:val="000000" w:themeColor="text1"/>
        </w:rPr>
        <w:t>d</w:t>
      </w:r>
      <w:proofErr w:type="spellEnd"/>
      <w:r w:rsidRPr="00E10C6F">
        <w:rPr>
          <w:color w:val="000000" w:themeColor="text1"/>
        </w:rPr>
        <w:t xml:space="preserve"> its </w:t>
      </w:r>
      <w:r w:rsidRPr="00E10C6F">
        <w:rPr>
          <w:color w:val="000000" w:themeColor="text1"/>
        </w:rPr>
        <w:lastRenderedPageBreak/>
        <w:t xml:space="preserve">international conference for 2023, </w:t>
      </w:r>
      <w:r w:rsidRPr="00E10C6F">
        <w:rPr>
          <w:i/>
          <w:iCs/>
          <w:color w:val="000000" w:themeColor="text1"/>
        </w:rPr>
        <w:t>Materials and Technology: Working with Ancient Egyptian Artefacts in the Field and in Museums</w:t>
      </w:r>
      <w:r w:rsidRPr="00E10C6F">
        <w:rPr>
          <w:color w:val="000000" w:themeColor="text1"/>
        </w:rPr>
        <w:t>, at the Nubia Museum in Aswan from November 24 to November 27, 2023.</w:t>
      </w:r>
    </w:p>
    <w:p w:rsidR="00E10C6F" w:rsidRPr="00E10C6F" w:rsidRDefault="00E10C6F" w:rsidP="00E10C6F">
      <w:pPr>
        <w:rPr>
          <w:color w:val="000000" w:themeColor="text1"/>
        </w:rPr>
      </w:pPr>
      <w:r w:rsidRPr="00E10C6F">
        <w:rPr>
          <w:color w:val="000000" w:themeColor="text1"/>
        </w:rPr>
        <w:t xml:space="preserve">The conference chair is </w:t>
      </w:r>
      <w:r w:rsidRPr="00E10C6F">
        <w:rPr>
          <w:i/>
          <w:iCs/>
          <w:color w:val="000000" w:themeColor="text1"/>
        </w:rPr>
        <w:t xml:space="preserve">Professor Martin </w:t>
      </w:r>
      <w:proofErr w:type="spellStart"/>
      <w:r w:rsidRPr="00E10C6F">
        <w:rPr>
          <w:i/>
          <w:iCs/>
          <w:color w:val="000000" w:themeColor="text1"/>
        </w:rPr>
        <w:t>Bommas</w:t>
      </w:r>
      <w:proofErr w:type="spellEnd"/>
      <w:r w:rsidRPr="00E10C6F">
        <w:rPr>
          <w:color w:val="000000" w:themeColor="text1"/>
        </w:rPr>
        <w:t xml:space="preserve">, Professor and Museum Director at Macquarie University, Sydney, Australia, and Director of the </w:t>
      </w:r>
      <w:proofErr w:type="spellStart"/>
      <w:r w:rsidRPr="00E10C6F">
        <w:rPr>
          <w:color w:val="000000" w:themeColor="text1"/>
        </w:rPr>
        <w:t>Qubbet</w:t>
      </w:r>
      <w:proofErr w:type="spellEnd"/>
      <w:r w:rsidRPr="00E10C6F">
        <w:rPr>
          <w:color w:val="000000" w:themeColor="text1"/>
        </w:rPr>
        <w:t xml:space="preserve"> el-</w:t>
      </w:r>
      <w:proofErr w:type="spellStart"/>
      <w:r w:rsidRPr="00E10C6F">
        <w:rPr>
          <w:color w:val="000000" w:themeColor="text1"/>
        </w:rPr>
        <w:t>Hawa</w:t>
      </w:r>
      <w:proofErr w:type="spellEnd"/>
      <w:r w:rsidRPr="00E10C6F">
        <w:rPr>
          <w:color w:val="000000" w:themeColor="text1"/>
        </w:rPr>
        <w:t xml:space="preserve"> Research Project (QHRP) in Aswan, Egypt.</w:t>
      </w:r>
    </w:p>
    <w:p w:rsidR="00F66B4B" w:rsidRDefault="00E10C6F" w:rsidP="00107E1C">
      <w:pPr>
        <w:pStyle w:val="Heading1"/>
        <w:rPr>
          <w:color w:val="000000" w:themeColor="text1"/>
        </w:rPr>
      </w:pPr>
      <w:r>
        <w:rPr>
          <w:noProof/>
          <w:color w:val="000000" w:themeColor="text1"/>
        </w:rPr>
        <w:drawing>
          <wp:inline distT="0" distB="0" distL="0" distR="0">
            <wp:extent cx="2743200" cy="2529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2529840"/>
                    </a:xfrm>
                    <a:prstGeom prst="rect">
                      <a:avLst/>
                    </a:prstGeom>
                    <a:noFill/>
                    <a:ln>
                      <a:noFill/>
                    </a:ln>
                  </pic:spPr>
                </pic:pic>
              </a:graphicData>
            </a:graphic>
          </wp:inline>
        </w:drawing>
      </w:r>
    </w:p>
    <w:p w:rsidR="00F66B4B" w:rsidRDefault="00F66B4B" w:rsidP="00E10C6F">
      <w:pPr>
        <w:pStyle w:val="Caption"/>
      </w:pPr>
      <w:r w:rsidRPr="00A01EC2">
        <w:t>Figure</w:t>
      </w:r>
      <w:r>
        <w:t xml:space="preserve"> 1:</w:t>
      </w:r>
      <w:r w:rsidR="00A01EC2" w:rsidRPr="00A01EC2">
        <w:rPr>
          <w:szCs w:val="20"/>
        </w:rPr>
        <w:t xml:space="preserve"> </w:t>
      </w:r>
      <w:r w:rsidR="00E10C6F">
        <w:rPr>
          <w:b w:val="0"/>
          <w:caps w:val="0"/>
          <w:color w:val="000000" w:themeColor="text1"/>
          <w:szCs w:val="20"/>
        </w:rPr>
        <w:t>SEAS-2023</w:t>
      </w:r>
      <w:r w:rsidR="00A01EC2" w:rsidRPr="00A01EC2">
        <w:rPr>
          <w:b w:val="0"/>
          <w:caps w:val="0"/>
          <w:color w:val="000000" w:themeColor="text1"/>
          <w:szCs w:val="20"/>
        </w:rPr>
        <w:t>.</w:t>
      </w:r>
      <w:r w:rsidRPr="00A01EC2">
        <w:rPr>
          <w:szCs w:val="20"/>
        </w:rPr>
        <w:t xml:space="preserve"> </w:t>
      </w:r>
    </w:p>
    <w:p w:rsidR="00851883" w:rsidRPr="00D1419E" w:rsidRDefault="00D1419E">
      <w:pPr>
        <w:pStyle w:val="Heading1"/>
        <w:rPr>
          <w:color w:val="000000" w:themeColor="text1"/>
        </w:rPr>
      </w:pPr>
      <w:r w:rsidRPr="00D1419E">
        <w:rPr>
          <w:color w:val="000000" w:themeColor="text1"/>
        </w:rPr>
        <w:t>Acknowledgements</w:t>
      </w:r>
      <w:bookmarkStart w:id="2" w:name="_GoBack"/>
      <w:bookmarkEnd w:id="2"/>
    </w:p>
    <w:p w:rsidR="00851883" w:rsidRPr="00D1419E" w:rsidRDefault="00D1419E">
      <w:pPr>
        <w:pStyle w:val="FirstParagraph"/>
        <w:rPr>
          <w:color w:val="000000" w:themeColor="text1"/>
        </w:rPr>
      </w:pPr>
      <w:r w:rsidRPr="00D1419E">
        <w:rPr>
          <w:color w:val="000000" w:themeColor="text1"/>
        </w:rPr>
        <w:t>This work is supported in part by XXX.</w:t>
      </w:r>
    </w:p>
    <w:p w:rsidR="00F66B4B" w:rsidRDefault="00F66B4B" w:rsidP="00F66B4B">
      <w:pPr>
        <w:pStyle w:val="Heading1"/>
        <w:rPr>
          <w:color w:val="000000" w:themeColor="text1"/>
        </w:rPr>
      </w:pPr>
      <w:r>
        <w:rPr>
          <w:color w:val="000000" w:themeColor="text1"/>
        </w:rPr>
        <w:t>References</w:t>
      </w:r>
    </w:p>
    <w:p w:rsidR="00F66B4B" w:rsidRDefault="00F66B4B" w:rsidP="00F66B4B">
      <w:pPr>
        <w:pStyle w:val="FirstParagraph"/>
        <w:spacing w:before="0" w:after="0"/>
        <w:rPr>
          <w:color w:val="000000" w:themeColor="text1"/>
        </w:rPr>
      </w:pPr>
      <w:r>
        <w:rPr>
          <w:color w:val="000000" w:themeColor="text1"/>
        </w:rPr>
        <w:t>[1]</w:t>
      </w:r>
      <w:r w:rsidR="00D1419E" w:rsidRPr="00D1419E">
        <w:rPr>
          <w:color w:val="000000" w:themeColor="text1"/>
        </w:rPr>
        <w:t xml:space="preserve"> E. Ma and G. </w:t>
      </w:r>
      <w:proofErr w:type="spellStart"/>
      <w:r w:rsidR="00D1419E" w:rsidRPr="00D1419E">
        <w:rPr>
          <w:color w:val="000000" w:themeColor="text1"/>
        </w:rPr>
        <w:t>Rajasekaran</w:t>
      </w:r>
      <w:proofErr w:type="spellEnd"/>
      <w:r w:rsidR="00D1419E" w:rsidRPr="00D1419E">
        <w:rPr>
          <w:color w:val="000000" w:themeColor="text1"/>
        </w:rPr>
        <w:t xml:space="preserve">, Phys. Rev. </w:t>
      </w:r>
      <w:r w:rsidR="00D1419E" w:rsidRPr="00F66B4B">
        <w:rPr>
          <w:color w:val="000000" w:themeColor="text1"/>
        </w:rPr>
        <w:t>D64</w:t>
      </w:r>
      <w:r w:rsidR="00D1419E" w:rsidRPr="00D1419E">
        <w:rPr>
          <w:color w:val="000000" w:themeColor="text1"/>
        </w:rPr>
        <w:t xml:space="preserve">, 113012 (2001). </w:t>
      </w:r>
    </w:p>
    <w:p w:rsidR="00F66B4B" w:rsidRDefault="00F66B4B" w:rsidP="00F66B4B">
      <w:pPr>
        <w:pStyle w:val="FirstParagraph"/>
        <w:spacing w:before="0" w:after="0"/>
        <w:rPr>
          <w:color w:val="000000" w:themeColor="text1"/>
        </w:rPr>
      </w:pPr>
      <w:r>
        <w:rPr>
          <w:color w:val="000000" w:themeColor="text1"/>
        </w:rPr>
        <w:t xml:space="preserve">[2] </w:t>
      </w:r>
      <w:r w:rsidR="00D1419E" w:rsidRPr="00D1419E">
        <w:rPr>
          <w:color w:val="000000" w:themeColor="text1"/>
        </w:rPr>
        <w:t xml:space="preserve">E. Ma, Phys. Rev. </w:t>
      </w:r>
      <w:r w:rsidR="00D1419E" w:rsidRPr="00F66B4B">
        <w:rPr>
          <w:color w:val="000000" w:themeColor="text1"/>
        </w:rPr>
        <w:t>D70</w:t>
      </w:r>
      <w:r w:rsidR="00D1419E" w:rsidRPr="00D1419E">
        <w:rPr>
          <w:color w:val="000000" w:themeColor="text1"/>
        </w:rPr>
        <w:t xml:space="preserve">, 031901 (2004). </w:t>
      </w:r>
    </w:p>
    <w:p w:rsidR="00650542" w:rsidRDefault="00F66B4B" w:rsidP="00E10C6F">
      <w:pPr>
        <w:pStyle w:val="FirstParagraph"/>
        <w:spacing w:before="0" w:after="0"/>
        <w:rPr>
          <w:color w:val="000000" w:themeColor="text1"/>
        </w:rPr>
        <w:sectPr w:rsidR="00650542" w:rsidSect="00650542">
          <w:type w:val="continuous"/>
          <w:pgSz w:w="12240" w:h="15840"/>
          <w:pgMar w:top="1440" w:right="1440" w:bottom="1440" w:left="1440" w:header="720" w:footer="720" w:gutter="0"/>
          <w:cols w:num="2" w:space="720"/>
          <w:titlePg/>
          <w:docGrid w:linePitch="326"/>
        </w:sectPr>
      </w:pPr>
      <w:r>
        <w:rPr>
          <w:color w:val="000000" w:themeColor="text1"/>
        </w:rPr>
        <w:t xml:space="preserve">[3] </w:t>
      </w:r>
      <w:r w:rsidR="00D1419E" w:rsidRPr="00D1419E">
        <w:rPr>
          <w:color w:val="000000" w:themeColor="text1"/>
        </w:rPr>
        <w:t xml:space="preserve">B. </w:t>
      </w:r>
      <w:proofErr w:type="spellStart"/>
      <w:r w:rsidR="00D1419E" w:rsidRPr="00D1419E">
        <w:rPr>
          <w:color w:val="000000" w:themeColor="text1"/>
        </w:rPr>
        <w:t>Aharmim</w:t>
      </w:r>
      <w:proofErr w:type="spellEnd"/>
      <w:r w:rsidR="00D1419E" w:rsidRPr="00D1419E">
        <w:rPr>
          <w:color w:val="000000" w:themeColor="text1"/>
        </w:rPr>
        <w:t xml:space="preserve"> </w:t>
      </w:r>
      <w:r w:rsidR="00D1419E" w:rsidRPr="00F66B4B">
        <w:rPr>
          <w:color w:val="000000" w:themeColor="text1"/>
        </w:rPr>
        <w:t>et al.</w:t>
      </w:r>
      <w:r w:rsidR="00D1419E" w:rsidRPr="00D1419E">
        <w:rPr>
          <w:color w:val="000000" w:themeColor="text1"/>
        </w:rPr>
        <w:t xml:space="preserve">, Phys. Rev. </w:t>
      </w:r>
      <w:r w:rsidR="00D1419E" w:rsidRPr="00F66B4B">
        <w:rPr>
          <w:color w:val="000000" w:themeColor="text1"/>
        </w:rPr>
        <w:t>C72</w:t>
      </w:r>
      <w:r w:rsidR="00E10C6F">
        <w:rPr>
          <w:color w:val="000000" w:themeColor="text1"/>
        </w:rPr>
        <w:t>, 055502 (2005)</w:t>
      </w:r>
    </w:p>
    <w:p w:rsidR="00851883" w:rsidRPr="00D1419E" w:rsidRDefault="00851883">
      <w:pPr>
        <w:pStyle w:val="BodyText"/>
        <w:rPr>
          <w:color w:val="000000" w:themeColor="text1"/>
        </w:rPr>
      </w:pPr>
    </w:p>
    <w:sectPr w:rsidR="00851883" w:rsidRPr="00D1419E" w:rsidSect="00650542">
      <w:type w:val="continuous"/>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CE3" w:rsidRDefault="00296CE3">
      <w:pPr>
        <w:spacing w:after="0"/>
      </w:pPr>
      <w:r>
        <w:separator/>
      </w:r>
    </w:p>
  </w:endnote>
  <w:endnote w:type="continuationSeparator" w:id="0">
    <w:p w:rsidR="00296CE3" w:rsidRDefault="00296C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450542"/>
      <w:docPartObj>
        <w:docPartGallery w:val="Page Numbers (Bottom of Page)"/>
        <w:docPartUnique/>
      </w:docPartObj>
    </w:sdtPr>
    <w:sdtEndPr>
      <w:rPr>
        <w:noProof/>
        <w:color w:val="000000" w:themeColor="text1"/>
      </w:rPr>
    </w:sdtEndPr>
    <w:sdtContent>
      <w:p w:rsidR="00F66B4B" w:rsidRPr="00F66B4B" w:rsidRDefault="00F66B4B">
        <w:pPr>
          <w:pStyle w:val="Footer"/>
          <w:jc w:val="center"/>
          <w:rPr>
            <w:color w:val="000000" w:themeColor="text1"/>
          </w:rPr>
        </w:pPr>
        <w:r w:rsidRPr="00F66B4B">
          <w:rPr>
            <w:color w:val="000000" w:themeColor="text1"/>
          </w:rPr>
          <w:fldChar w:fldCharType="begin"/>
        </w:r>
        <w:r w:rsidRPr="00F66B4B">
          <w:rPr>
            <w:color w:val="000000" w:themeColor="text1"/>
          </w:rPr>
          <w:instrText xml:space="preserve"> PAGE   \* MERGEFORMAT </w:instrText>
        </w:r>
        <w:r w:rsidRPr="00F66B4B">
          <w:rPr>
            <w:color w:val="000000" w:themeColor="text1"/>
          </w:rPr>
          <w:fldChar w:fldCharType="separate"/>
        </w:r>
        <w:r w:rsidR="00951BC2">
          <w:rPr>
            <w:noProof/>
            <w:color w:val="000000" w:themeColor="text1"/>
          </w:rPr>
          <w:t>2</w:t>
        </w:r>
        <w:r w:rsidRPr="00F66B4B">
          <w:rPr>
            <w:noProof/>
            <w:color w:val="000000" w:themeColor="text1"/>
          </w:rPr>
          <w:fldChar w:fldCharType="end"/>
        </w:r>
      </w:p>
    </w:sdtContent>
  </w:sdt>
  <w:p w:rsidR="00F66B4B" w:rsidRDefault="00F66B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CE3" w:rsidRDefault="00296CE3">
      <w:r>
        <w:separator/>
      </w:r>
    </w:p>
  </w:footnote>
  <w:footnote w:type="continuationSeparator" w:id="0">
    <w:p w:rsidR="00296CE3" w:rsidRDefault="00296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19E" w:rsidRPr="00FF73FC" w:rsidRDefault="00951BC2" w:rsidP="00B8712E">
    <w:pPr>
      <w:pStyle w:val="Header"/>
      <w:pBdr>
        <w:bottom w:val="single" w:sz="6" w:space="1" w:color="auto"/>
      </w:pBdr>
      <w:jc w:val="both"/>
      <w:rPr>
        <w:color w:val="000000" w:themeColor="text1"/>
      </w:rPr>
    </w:pPr>
    <w:r w:rsidRPr="00650542">
      <w:rPr>
        <w:color w:val="000000" w:themeColor="text1"/>
      </w:rPr>
      <w:t>Studies in Egyptian Archaeology and Science</w:t>
    </w:r>
    <w:r>
      <w:rPr>
        <w:color w:val="000000" w:themeColor="text1"/>
      </w:rPr>
      <w:t xml:space="preserve">       </w:t>
    </w:r>
    <w:r w:rsidRPr="00FF73FC">
      <w:rPr>
        <w:color w:val="000000" w:themeColor="text1"/>
      </w:rPr>
      <w:t xml:space="preserve">                                                 </w:t>
    </w:r>
    <w:r>
      <w:rPr>
        <w:color w:val="000000" w:themeColor="text1"/>
      </w:rPr>
      <w:t xml:space="preserve">       SEAS</w:t>
    </w:r>
    <w:r w:rsidRPr="00FF73FC">
      <w:rPr>
        <w:color w:val="000000" w:themeColor="text1"/>
      </w:rPr>
      <w:t>-ID, 202</w:t>
    </w:r>
    <w:r>
      <w:rPr>
        <w:color w:val="000000" w:themeColor="text1"/>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12E" w:rsidRPr="00FF73FC" w:rsidRDefault="00650542" w:rsidP="00650542">
    <w:pPr>
      <w:pStyle w:val="Header"/>
      <w:pBdr>
        <w:bottom w:val="single" w:sz="6" w:space="1" w:color="auto"/>
      </w:pBdr>
      <w:jc w:val="both"/>
      <w:rPr>
        <w:color w:val="000000" w:themeColor="text1"/>
      </w:rPr>
    </w:pPr>
    <w:r w:rsidRPr="00650542">
      <w:rPr>
        <w:color w:val="000000" w:themeColor="text1"/>
      </w:rPr>
      <w:t>Studies in Egyptian Archaeology and Science</w:t>
    </w:r>
    <w:r>
      <w:rPr>
        <w:color w:val="000000" w:themeColor="text1"/>
      </w:rPr>
      <w:t xml:space="preserve">       </w:t>
    </w:r>
    <w:r w:rsidR="00B8712E" w:rsidRPr="00FF73FC">
      <w:rPr>
        <w:color w:val="000000" w:themeColor="text1"/>
      </w:rPr>
      <w:t xml:space="preserve">                                                 </w:t>
    </w:r>
    <w:r>
      <w:rPr>
        <w:color w:val="000000" w:themeColor="text1"/>
      </w:rPr>
      <w:t xml:space="preserve">       SEAS</w:t>
    </w:r>
    <w:r w:rsidR="00B8712E" w:rsidRPr="00FF73FC">
      <w:rPr>
        <w:color w:val="000000" w:themeColor="text1"/>
      </w:rPr>
      <w:t>-ID, 202</w:t>
    </w:r>
    <w:r>
      <w:rPr>
        <w:color w:val="000000" w:themeColor="text1"/>
      </w:rPr>
      <w:t>4</w:t>
    </w:r>
  </w:p>
  <w:p w:rsidR="00B8712E" w:rsidRPr="00B8712E" w:rsidRDefault="00650542" w:rsidP="00B8712E">
    <w:pPr>
      <w:spacing w:after="0" w:line="276" w:lineRule="auto"/>
      <w:rPr>
        <w:i/>
        <w:iCs/>
        <w:sz w:val="36"/>
        <w:szCs w:val="36"/>
      </w:rPr>
    </w:pPr>
    <w:r>
      <w:rPr>
        <w:i/>
        <w:iCs/>
        <w:sz w:val="36"/>
        <w:szCs w:val="36"/>
      </w:rPr>
      <w:t>Research Article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2C8591"/>
    <w:multiLevelType w:val="multilevel"/>
    <w:tmpl w:val="7AAC8EA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B6168F06"/>
    <w:multiLevelType w:val="multilevel"/>
    <w:tmpl w:val="60DC77B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17F69BA"/>
    <w:multiLevelType w:val="multilevel"/>
    <w:tmpl w:val="7356182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62CB36A5"/>
    <w:multiLevelType w:val="multilevel"/>
    <w:tmpl w:val="DCE8738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90D07"/>
    <w:rsid w:val="00011C8B"/>
    <w:rsid w:val="00107E1C"/>
    <w:rsid w:val="00296CE3"/>
    <w:rsid w:val="003D3D01"/>
    <w:rsid w:val="004B527A"/>
    <w:rsid w:val="004E29B3"/>
    <w:rsid w:val="005015B6"/>
    <w:rsid w:val="00534879"/>
    <w:rsid w:val="00590D07"/>
    <w:rsid w:val="00650542"/>
    <w:rsid w:val="006535E0"/>
    <w:rsid w:val="006B5A7C"/>
    <w:rsid w:val="00784D58"/>
    <w:rsid w:val="00851883"/>
    <w:rsid w:val="008D6863"/>
    <w:rsid w:val="00951BC2"/>
    <w:rsid w:val="00A01EC2"/>
    <w:rsid w:val="00B86B75"/>
    <w:rsid w:val="00B8712E"/>
    <w:rsid w:val="00BC48D5"/>
    <w:rsid w:val="00C1171B"/>
    <w:rsid w:val="00C36279"/>
    <w:rsid w:val="00D1419E"/>
    <w:rsid w:val="00DD77E3"/>
    <w:rsid w:val="00E04726"/>
    <w:rsid w:val="00E10C6F"/>
    <w:rsid w:val="00E27C44"/>
    <w:rsid w:val="00E315A3"/>
    <w:rsid w:val="00F66B4B"/>
    <w:rsid w:val="00FF73FC"/>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21F974-5FC0-4699-A0C5-E09317FB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rsid w:val="00A01EC2"/>
    <w:pPr>
      <w:spacing w:after="120" w:line="360" w:lineRule="auto"/>
      <w:jc w:val="center"/>
    </w:pPr>
    <w:rPr>
      <w:b/>
      <w:caps/>
      <w:sz w:val="20"/>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rsid w:val="00A01EC2"/>
    <w:rPr>
      <w:b/>
      <w:caps/>
      <w:sz w:val="20"/>
    </w:rPr>
  </w:style>
  <w:style w:type="character" w:customStyle="1" w:styleId="VerbatimChar">
    <w:name w:val="Verbatim Char"/>
    <w:basedOn w:val="CaptionChar"/>
    <w:link w:val="SourceCode"/>
    <w:rPr>
      <w:rFonts w:ascii="Consolas" w:hAnsi="Consolas"/>
      <w:b/>
      <w:caps/>
      <w:sz w:val="22"/>
    </w:rPr>
  </w:style>
  <w:style w:type="character" w:styleId="FootnoteReference">
    <w:name w:val="footnote reference"/>
    <w:basedOn w:val="CaptionChar"/>
    <w:rPr>
      <w:b/>
      <w:caps/>
      <w:sz w:val="20"/>
      <w:vertAlign w:val="superscript"/>
    </w:rPr>
  </w:style>
  <w:style w:type="character" w:styleId="Hyperlink">
    <w:name w:val="Hyperlink"/>
    <w:basedOn w:val="CaptionChar"/>
    <w:rPr>
      <w:b/>
      <w:caps/>
      <w:color w:val="4F81BD" w:themeColor="accent1"/>
      <w:sz w:val="20"/>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val="0"/>
      <w:caps/>
      <w:color w:val="007020"/>
      <w:sz w:val="22"/>
    </w:rPr>
  </w:style>
  <w:style w:type="character" w:customStyle="1" w:styleId="DataTypeTok">
    <w:name w:val="DataTypeTok"/>
    <w:basedOn w:val="VerbatimChar"/>
    <w:rPr>
      <w:rFonts w:ascii="Consolas" w:hAnsi="Consolas"/>
      <w:b/>
      <w:caps/>
      <w:color w:val="902000"/>
      <w:sz w:val="22"/>
    </w:rPr>
  </w:style>
  <w:style w:type="character" w:customStyle="1" w:styleId="DecValTok">
    <w:name w:val="DecValTok"/>
    <w:basedOn w:val="VerbatimChar"/>
    <w:rPr>
      <w:rFonts w:ascii="Consolas" w:hAnsi="Consolas"/>
      <w:b/>
      <w:caps/>
      <w:color w:val="40A070"/>
      <w:sz w:val="22"/>
    </w:rPr>
  </w:style>
  <w:style w:type="character" w:customStyle="1" w:styleId="BaseNTok">
    <w:name w:val="BaseNTok"/>
    <w:basedOn w:val="VerbatimChar"/>
    <w:rPr>
      <w:rFonts w:ascii="Consolas" w:hAnsi="Consolas"/>
      <w:b/>
      <w:caps/>
      <w:color w:val="40A070"/>
      <w:sz w:val="22"/>
    </w:rPr>
  </w:style>
  <w:style w:type="character" w:customStyle="1" w:styleId="FloatTok">
    <w:name w:val="FloatTok"/>
    <w:basedOn w:val="VerbatimChar"/>
    <w:rPr>
      <w:rFonts w:ascii="Consolas" w:hAnsi="Consolas"/>
      <w:b/>
      <w:caps/>
      <w:color w:val="40A070"/>
      <w:sz w:val="22"/>
    </w:rPr>
  </w:style>
  <w:style w:type="character" w:customStyle="1" w:styleId="ConstantTok">
    <w:name w:val="ConstantTok"/>
    <w:basedOn w:val="VerbatimChar"/>
    <w:rPr>
      <w:rFonts w:ascii="Consolas" w:hAnsi="Consolas"/>
      <w:b/>
      <w:caps/>
      <w:color w:val="880000"/>
      <w:sz w:val="22"/>
    </w:rPr>
  </w:style>
  <w:style w:type="character" w:customStyle="1" w:styleId="CharTok">
    <w:name w:val="CharTok"/>
    <w:basedOn w:val="VerbatimChar"/>
    <w:rPr>
      <w:rFonts w:ascii="Consolas" w:hAnsi="Consolas"/>
      <w:b/>
      <w:caps/>
      <w:color w:val="4070A0"/>
      <w:sz w:val="22"/>
    </w:rPr>
  </w:style>
  <w:style w:type="character" w:customStyle="1" w:styleId="SpecialCharTok">
    <w:name w:val="SpecialCharTok"/>
    <w:basedOn w:val="VerbatimChar"/>
    <w:rPr>
      <w:rFonts w:ascii="Consolas" w:hAnsi="Consolas"/>
      <w:b/>
      <w:caps/>
      <w:color w:val="4070A0"/>
      <w:sz w:val="22"/>
    </w:rPr>
  </w:style>
  <w:style w:type="character" w:customStyle="1" w:styleId="StringTok">
    <w:name w:val="StringTok"/>
    <w:basedOn w:val="VerbatimChar"/>
    <w:rPr>
      <w:rFonts w:ascii="Consolas" w:hAnsi="Consolas"/>
      <w:b/>
      <w:caps/>
      <w:color w:val="4070A0"/>
      <w:sz w:val="22"/>
    </w:rPr>
  </w:style>
  <w:style w:type="character" w:customStyle="1" w:styleId="VerbatimStringTok">
    <w:name w:val="VerbatimStringTok"/>
    <w:basedOn w:val="VerbatimChar"/>
    <w:rPr>
      <w:rFonts w:ascii="Consolas" w:hAnsi="Consolas"/>
      <w:b/>
      <w:caps/>
      <w:color w:val="4070A0"/>
      <w:sz w:val="22"/>
    </w:rPr>
  </w:style>
  <w:style w:type="character" w:customStyle="1" w:styleId="SpecialStringTok">
    <w:name w:val="SpecialStringTok"/>
    <w:basedOn w:val="VerbatimChar"/>
    <w:rPr>
      <w:rFonts w:ascii="Consolas" w:hAnsi="Consolas"/>
      <w:b/>
      <w:caps/>
      <w:color w:val="BB6688"/>
      <w:sz w:val="22"/>
    </w:rPr>
  </w:style>
  <w:style w:type="character" w:customStyle="1" w:styleId="ImportTok">
    <w:name w:val="ImportTok"/>
    <w:basedOn w:val="VerbatimChar"/>
    <w:rPr>
      <w:rFonts w:ascii="Consolas" w:hAnsi="Consolas"/>
      <w:b/>
      <w:caps/>
      <w:sz w:val="22"/>
    </w:rPr>
  </w:style>
  <w:style w:type="character" w:customStyle="1" w:styleId="CommentTok">
    <w:name w:val="CommentTok"/>
    <w:basedOn w:val="VerbatimChar"/>
    <w:rPr>
      <w:rFonts w:ascii="Consolas" w:hAnsi="Consolas"/>
      <w:b/>
      <w:i/>
      <w:caps/>
      <w:color w:val="60A0B0"/>
      <w:sz w:val="22"/>
    </w:rPr>
  </w:style>
  <w:style w:type="character" w:customStyle="1" w:styleId="DocumentationTok">
    <w:name w:val="DocumentationTok"/>
    <w:basedOn w:val="VerbatimChar"/>
    <w:rPr>
      <w:rFonts w:ascii="Consolas" w:hAnsi="Consolas"/>
      <w:b/>
      <w:i/>
      <w:caps/>
      <w:color w:val="BA2121"/>
      <w:sz w:val="22"/>
    </w:rPr>
  </w:style>
  <w:style w:type="character" w:customStyle="1" w:styleId="AnnotationTok">
    <w:name w:val="AnnotationTok"/>
    <w:basedOn w:val="VerbatimChar"/>
    <w:rPr>
      <w:rFonts w:ascii="Consolas" w:hAnsi="Consolas"/>
      <w:b w:val="0"/>
      <w:i/>
      <w:caps/>
      <w:color w:val="60A0B0"/>
      <w:sz w:val="22"/>
    </w:rPr>
  </w:style>
  <w:style w:type="character" w:customStyle="1" w:styleId="CommentVarTok">
    <w:name w:val="CommentVarTok"/>
    <w:basedOn w:val="VerbatimChar"/>
    <w:rPr>
      <w:rFonts w:ascii="Consolas" w:hAnsi="Consolas"/>
      <w:b w:val="0"/>
      <w:i/>
      <w:caps/>
      <w:color w:val="60A0B0"/>
      <w:sz w:val="22"/>
    </w:rPr>
  </w:style>
  <w:style w:type="character" w:customStyle="1" w:styleId="OtherTok">
    <w:name w:val="OtherTok"/>
    <w:basedOn w:val="VerbatimChar"/>
    <w:rPr>
      <w:rFonts w:ascii="Consolas" w:hAnsi="Consolas"/>
      <w:b/>
      <w:caps/>
      <w:color w:val="007020"/>
      <w:sz w:val="22"/>
    </w:rPr>
  </w:style>
  <w:style w:type="character" w:customStyle="1" w:styleId="FunctionTok">
    <w:name w:val="FunctionTok"/>
    <w:basedOn w:val="VerbatimChar"/>
    <w:rPr>
      <w:rFonts w:ascii="Consolas" w:hAnsi="Consolas"/>
      <w:b/>
      <w:caps/>
      <w:color w:val="06287E"/>
      <w:sz w:val="22"/>
    </w:rPr>
  </w:style>
  <w:style w:type="character" w:customStyle="1" w:styleId="VariableTok">
    <w:name w:val="VariableTok"/>
    <w:basedOn w:val="VerbatimChar"/>
    <w:rPr>
      <w:rFonts w:ascii="Consolas" w:hAnsi="Consolas"/>
      <w:b/>
      <w:caps/>
      <w:color w:val="19177C"/>
      <w:sz w:val="22"/>
    </w:rPr>
  </w:style>
  <w:style w:type="character" w:customStyle="1" w:styleId="ControlFlowTok">
    <w:name w:val="ControlFlowTok"/>
    <w:basedOn w:val="VerbatimChar"/>
    <w:rPr>
      <w:rFonts w:ascii="Consolas" w:hAnsi="Consolas"/>
      <w:b w:val="0"/>
      <w:caps/>
      <w:color w:val="007020"/>
      <w:sz w:val="22"/>
    </w:rPr>
  </w:style>
  <w:style w:type="character" w:customStyle="1" w:styleId="OperatorTok">
    <w:name w:val="OperatorTok"/>
    <w:basedOn w:val="VerbatimChar"/>
    <w:rPr>
      <w:rFonts w:ascii="Consolas" w:hAnsi="Consolas"/>
      <w:b/>
      <w:caps/>
      <w:color w:val="666666"/>
      <w:sz w:val="22"/>
    </w:rPr>
  </w:style>
  <w:style w:type="character" w:customStyle="1" w:styleId="BuiltInTok">
    <w:name w:val="BuiltInTok"/>
    <w:basedOn w:val="VerbatimChar"/>
    <w:rPr>
      <w:rFonts w:ascii="Consolas" w:hAnsi="Consolas"/>
      <w:b/>
      <w:caps/>
      <w:sz w:val="22"/>
    </w:rPr>
  </w:style>
  <w:style w:type="character" w:customStyle="1" w:styleId="ExtensionTok">
    <w:name w:val="ExtensionTok"/>
    <w:basedOn w:val="VerbatimChar"/>
    <w:rPr>
      <w:rFonts w:ascii="Consolas" w:hAnsi="Consolas"/>
      <w:b/>
      <w:caps/>
      <w:sz w:val="22"/>
    </w:rPr>
  </w:style>
  <w:style w:type="character" w:customStyle="1" w:styleId="PreprocessorTok">
    <w:name w:val="PreprocessorTok"/>
    <w:basedOn w:val="VerbatimChar"/>
    <w:rPr>
      <w:rFonts w:ascii="Consolas" w:hAnsi="Consolas"/>
      <w:b/>
      <w:caps/>
      <w:color w:val="BC7A00"/>
      <w:sz w:val="22"/>
    </w:rPr>
  </w:style>
  <w:style w:type="character" w:customStyle="1" w:styleId="AttributeTok">
    <w:name w:val="AttributeTok"/>
    <w:basedOn w:val="VerbatimChar"/>
    <w:rPr>
      <w:rFonts w:ascii="Consolas" w:hAnsi="Consolas"/>
      <w:b/>
      <w:caps/>
      <w:color w:val="7D9029"/>
      <w:sz w:val="22"/>
    </w:rPr>
  </w:style>
  <w:style w:type="character" w:customStyle="1" w:styleId="RegionMarkerTok">
    <w:name w:val="RegionMarkerTok"/>
    <w:basedOn w:val="VerbatimChar"/>
    <w:rPr>
      <w:rFonts w:ascii="Consolas" w:hAnsi="Consolas"/>
      <w:b/>
      <w:caps/>
      <w:sz w:val="22"/>
    </w:rPr>
  </w:style>
  <w:style w:type="character" w:customStyle="1" w:styleId="InformationTok">
    <w:name w:val="InformationTok"/>
    <w:basedOn w:val="VerbatimChar"/>
    <w:rPr>
      <w:rFonts w:ascii="Consolas" w:hAnsi="Consolas"/>
      <w:b w:val="0"/>
      <w:i/>
      <w:caps/>
      <w:color w:val="60A0B0"/>
      <w:sz w:val="22"/>
    </w:rPr>
  </w:style>
  <w:style w:type="character" w:customStyle="1" w:styleId="WarningTok">
    <w:name w:val="WarningTok"/>
    <w:basedOn w:val="VerbatimChar"/>
    <w:rPr>
      <w:rFonts w:ascii="Consolas" w:hAnsi="Consolas"/>
      <w:b w:val="0"/>
      <w:i/>
      <w:caps/>
      <w:color w:val="60A0B0"/>
      <w:sz w:val="22"/>
    </w:rPr>
  </w:style>
  <w:style w:type="character" w:customStyle="1" w:styleId="AlertTok">
    <w:name w:val="AlertTok"/>
    <w:basedOn w:val="VerbatimChar"/>
    <w:rPr>
      <w:rFonts w:ascii="Consolas" w:hAnsi="Consolas"/>
      <w:b w:val="0"/>
      <w:caps/>
      <w:color w:val="FF0000"/>
      <w:sz w:val="22"/>
    </w:rPr>
  </w:style>
  <w:style w:type="character" w:customStyle="1" w:styleId="ErrorTok">
    <w:name w:val="ErrorTok"/>
    <w:basedOn w:val="VerbatimChar"/>
    <w:rPr>
      <w:rFonts w:ascii="Consolas" w:hAnsi="Consolas"/>
      <w:b w:val="0"/>
      <w:caps/>
      <w:color w:val="FF0000"/>
      <w:sz w:val="22"/>
    </w:rPr>
  </w:style>
  <w:style w:type="character" w:customStyle="1" w:styleId="NormalTok">
    <w:name w:val="NormalTok"/>
    <w:basedOn w:val="VerbatimChar"/>
    <w:rPr>
      <w:rFonts w:ascii="Consolas" w:hAnsi="Consolas"/>
      <w:b/>
      <w:caps/>
      <w:sz w:val="22"/>
    </w:rPr>
  </w:style>
  <w:style w:type="paragraph" w:styleId="Header">
    <w:name w:val="header"/>
    <w:basedOn w:val="Normal"/>
    <w:link w:val="HeaderChar"/>
    <w:unhideWhenUsed/>
    <w:rsid w:val="00D1419E"/>
    <w:pPr>
      <w:tabs>
        <w:tab w:val="center" w:pos="4513"/>
        <w:tab w:val="right" w:pos="9026"/>
      </w:tabs>
      <w:spacing w:after="0"/>
    </w:pPr>
  </w:style>
  <w:style w:type="character" w:customStyle="1" w:styleId="HeaderChar">
    <w:name w:val="Header Char"/>
    <w:basedOn w:val="DefaultParagraphFont"/>
    <w:link w:val="Header"/>
    <w:rsid w:val="00D1419E"/>
  </w:style>
  <w:style w:type="paragraph" w:styleId="Footer">
    <w:name w:val="footer"/>
    <w:basedOn w:val="Normal"/>
    <w:link w:val="FooterChar"/>
    <w:uiPriority w:val="99"/>
    <w:unhideWhenUsed/>
    <w:rsid w:val="00D1419E"/>
    <w:pPr>
      <w:tabs>
        <w:tab w:val="center" w:pos="4513"/>
        <w:tab w:val="right" w:pos="9026"/>
      </w:tabs>
      <w:spacing w:after="0"/>
    </w:pPr>
  </w:style>
  <w:style w:type="character" w:customStyle="1" w:styleId="FooterChar">
    <w:name w:val="Footer Char"/>
    <w:basedOn w:val="DefaultParagraphFont"/>
    <w:link w:val="Footer"/>
    <w:uiPriority w:val="99"/>
    <w:rsid w:val="00D14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E5C9C-0FEE-4E24-A482-1EEF3F55E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LaTeX – A documentation package for book, article and journal publication</vt:lpstr>
    </vt:vector>
  </TitlesOfParts>
  <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LaTeX – A documentation package for book, article and journal publication</dc:title>
  <dc:creator>Author name, Author name, Author name, and Author name</dc:creator>
  <cp:lastModifiedBy>Ahmed Moustafa</cp:lastModifiedBy>
  <cp:revision>9</cp:revision>
  <dcterms:created xsi:type="dcterms:W3CDTF">2021-10-01T21:25:00Z</dcterms:created>
  <dcterms:modified xsi:type="dcterms:W3CDTF">2023-10-16T18:11:00Z</dcterms:modified>
</cp:coreProperties>
</file>